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  <w:r>
        <w:rPr>
          <w:color w:val="000000"/>
          <w:szCs w:val="24"/>
          <w:lang w:val="pl-PL"/>
        </w:rPr>
        <w:t xml:space="preserve">Dot. Poprawy omyłki pisarskiej </w:t>
      </w:r>
    </w:p>
    <w:p w:rsid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</w:p>
    <w:p w:rsid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  <w:r>
        <w:rPr>
          <w:color w:val="000000"/>
          <w:szCs w:val="24"/>
          <w:lang w:val="pl-PL"/>
        </w:rPr>
        <w:t xml:space="preserve">W Rozdziale XI pkt 4 </w:t>
      </w:r>
      <w:proofErr w:type="spellStart"/>
      <w:r>
        <w:rPr>
          <w:color w:val="000000"/>
          <w:szCs w:val="24"/>
          <w:lang w:val="pl-PL"/>
        </w:rPr>
        <w:t>ppkt</w:t>
      </w:r>
      <w:proofErr w:type="spellEnd"/>
      <w:r>
        <w:rPr>
          <w:color w:val="000000"/>
          <w:szCs w:val="24"/>
          <w:lang w:val="pl-PL"/>
        </w:rPr>
        <w:t xml:space="preserve"> 5 IWZ dokonuje się wykreślenia wyrażenia </w:t>
      </w:r>
    </w:p>
    <w:p w:rsid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  <w:r>
        <w:rPr>
          <w:color w:val="000000"/>
          <w:szCs w:val="24"/>
          <w:lang w:val="pl-PL"/>
        </w:rPr>
        <w:t xml:space="preserve">„godzin” </w:t>
      </w:r>
    </w:p>
    <w:p w:rsid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</w:p>
    <w:p w:rsidR="003632C9" w:rsidRP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  <w:r>
        <w:rPr>
          <w:color w:val="000000"/>
          <w:szCs w:val="24"/>
          <w:lang w:val="pl-PL"/>
        </w:rPr>
        <w:t xml:space="preserve">Właściwe brzmienie Pkt 4 </w:t>
      </w:r>
      <w:proofErr w:type="spellStart"/>
      <w:r>
        <w:rPr>
          <w:color w:val="000000"/>
          <w:szCs w:val="24"/>
          <w:lang w:val="pl-PL"/>
        </w:rPr>
        <w:t>ppkt</w:t>
      </w:r>
      <w:proofErr w:type="spellEnd"/>
      <w:r>
        <w:rPr>
          <w:color w:val="000000"/>
          <w:szCs w:val="24"/>
          <w:lang w:val="pl-PL"/>
        </w:rPr>
        <w:t xml:space="preserve"> 5 IWZ „</w:t>
      </w:r>
      <w:r>
        <w:t>zwiększenia ilości świadczonych usług opieki i wsparcia przy czym  łącza wartość dodatkowych usług opieki i wsparcia nie będzie wyższa niż 50 % wartości zawartej umowy</w:t>
      </w:r>
      <w:r>
        <w:rPr>
          <w:lang w:val="pl-PL"/>
        </w:rPr>
        <w:t>,</w:t>
      </w:r>
      <w:bookmarkStart w:id="0" w:name="_GoBack"/>
      <w:bookmarkEnd w:id="0"/>
    </w:p>
    <w:p w:rsidR="003632C9" w:rsidRPr="003632C9" w:rsidRDefault="003632C9" w:rsidP="003632C9">
      <w:pPr>
        <w:pStyle w:val="Tekstpodstawowy"/>
        <w:tabs>
          <w:tab w:val="left" w:pos="993"/>
        </w:tabs>
        <w:suppressAutoHyphens/>
        <w:rPr>
          <w:color w:val="000000"/>
          <w:szCs w:val="24"/>
          <w:lang w:val="pl-PL"/>
        </w:rPr>
      </w:pPr>
    </w:p>
    <w:sectPr w:rsidR="003632C9" w:rsidRPr="00363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23C4E"/>
    <w:multiLevelType w:val="hybridMultilevel"/>
    <w:tmpl w:val="BC8AA3B2"/>
    <w:lvl w:ilvl="0" w:tplc="7BB67E06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662AAEC4">
      <w:start w:val="1"/>
      <w:numFmt w:val="decimal"/>
      <w:lvlText w:val="%2)"/>
      <w:lvlJc w:val="left"/>
      <w:pPr>
        <w:ind w:left="1070" w:hanging="360"/>
      </w:pPr>
      <w:rPr>
        <w:rFonts w:ascii="Times New Roman" w:eastAsia="Times New Roman" w:hAnsi="Times New Roman" w:cs="Times New Roman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64B25673"/>
    <w:multiLevelType w:val="hybridMultilevel"/>
    <w:tmpl w:val="8ACC192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C9"/>
    <w:rsid w:val="003632C9"/>
    <w:rsid w:val="00FF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48E49"/>
  <w15:chartTrackingRefBased/>
  <w15:docId w15:val="{2B411FDE-45AA-4026-9A2F-9247AE896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632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632C9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274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1</cp:revision>
  <dcterms:created xsi:type="dcterms:W3CDTF">2020-11-26T14:19:00Z</dcterms:created>
  <dcterms:modified xsi:type="dcterms:W3CDTF">2020-11-26T14:28:00Z</dcterms:modified>
</cp:coreProperties>
</file>